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5850"/>
        <w:gridCol w:w="5400"/>
      </w:tblGrid>
      <w:tr w:rsidR="00894BC3" w:rsidTr="00894BC3">
        <w:trPr>
          <w:trHeight w:val="690"/>
        </w:trPr>
        <w:tc>
          <w:tcPr>
            <w:tcW w:w="1530" w:type="dxa"/>
            <w:vAlign w:val="center"/>
          </w:tcPr>
          <w:p w:rsidR="00894BC3" w:rsidRPr="00724DCB" w:rsidRDefault="00894BC3" w:rsidP="00724DCB">
            <w:pPr>
              <w:jc w:val="center"/>
              <w:rPr>
                <w:b/>
                <w:sz w:val="32"/>
                <w:szCs w:val="32"/>
              </w:rPr>
            </w:pPr>
            <w:r w:rsidRPr="00724DCB">
              <w:rPr>
                <w:b/>
                <w:sz w:val="32"/>
                <w:szCs w:val="32"/>
              </w:rPr>
              <w:t>Character</w:t>
            </w:r>
          </w:p>
        </w:tc>
        <w:tc>
          <w:tcPr>
            <w:tcW w:w="5850" w:type="dxa"/>
            <w:vAlign w:val="center"/>
          </w:tcPr>
          <w:p w:rsidR="00894BC3" w:rsidRPr="00724DCB" w:rsidRDefault="00894BC3" w:rsidP="00724DCB">
            <w:pPr>
              <w:jc w:val="center"/>
              <w:rPr>
                <w:b/>
                <w:sz w:val="32"/>
                <w:szCs w:val="32"/>
              </w:rPr>
            </w:pPr>
            <w:r w:rsidRPr="00724DCB">
              <w:rPr>
                <w:b/>
                <w:sz w:val="32"/>
                <w:szCs w:val="32"/>
              </w:rPr>
              <w:t>Important Quote(s)</w:t>
            </w:r>
          </w:p>
        </w:tc>
        <w:tc>
          <w:tcPr>
            <w:tcW w:w="5400" w:type="dxa"/>
            <w:vAlign w:val="center"/>
          </w:tcPr>
          <w:p w:rsidR="00894BC3" w:rsidRPr="00724DCB" w:rsidRDefault="00894BC3" w:rsidP="00724DCB">
            <w:pPr>
              <w:jc w:val="center"/>
              <w:rPr>
                <w:b/>
                <w:sz w:val="32"/>
                <w:szCs w:val="32"/>
              </w:rPr>
            </w:pPr>
            <w:r w:rsidRPr="00724DCB">
              <w:rPr>
                <w:b/>
                <w:sz w:val="32"/>
                <w:szCs w:val="32"/>
              </w:rPr>
              <w:t>Importance to Play</w:t>
            </w:r>
          </w:p>
        </w:tc>
      </w:tr>
      <w:tr w:rsidR="00894BC3" w:rsidTr="00894BC3">
        <w:trPr>
          <w:trHeight w:val="1440"/>
        </w:trPr>
        <w:tc>
          <w:tcPr>
            <w:tcW w:w="1530" w:type="dxa"/>
            <w:vAlign w:val="center"/>
          </w:tcPr>
          <w:p w:rsidR="00894BC3" w:rsidRPr="006039CF" w:rsidRDefault="00894BC3" w:rsidP="00724DCB">
            <w:pPr>
              <w:jc w:val="center"/>
              <w:rPr>
                <w:b/>
              </w:rPr>
            </w:pPr>
            <w:r>
              <w:rPr>
                <w:b/>
              </w:rPr>
              <w:t>Elizabeth Proctor</w:t>
            </w:r>
          </w:p>
        </w:tc>
        <w:tc>
          <w:tcPr>
            <w:tcW w:w="5850" w:type="dxa"/>
          </w:tcPr>
          <w:p w:rsidR="00894BC3" w:rsidRDefault="00894BC3" w:rsidP="003230AD">
            <w:r>
              <w:t>“I do not judge you.  The magistrate sits in your heart that judges you.  I never thought you but a good man, John, only somewhat bewildered.” (1117)</w:t>
            </w:r>
          </w:p>
        </w:tc>
        <w:tc>
          <w:tcPr>
            <w:tcW w:w="5400" w:type="dxa"/>
          </w:tcPr>
          <w:p w:rsidR="00894BC3" w:rsidRDefault="00894BC3"/>
        </w:tc>
      </w:tr>
      <w:tr w:rsidR="00894BC3" w:rsidTr="00894BC3">
        <w:trPr>
          <w:trHeight w:val="1425"/>
        </w:trPr>
        <w:tc>
          <w:tcPr>
            <w:tcW w:w="1530" w:type="dxa"/>
            <w:vAlign w:val="center"/>
          </w:tcPr>
          <w:p w:rsidR="00894BC3" w:rsidRPr="006039CF" w:rsidRDefault="00894BC3" w:rsidP="00724DCB">
            <w:pPr>
              <w:jc w:val="center"/>
              <w:rPr>
                <w:b/>
              </w:rPr>
            </w:pPr>
            <w:r>
              <w:rPr>
                <w:b/>
              </w:rPr>
              <w:t>Elizabeth Proctor</w:t>
            </w:r>
          </w:p>
        </w:tc>
        <w:tc>
          <w:tcPr>
            <w:tcW w:w="5850" w:type="dxa"/>
          </w:tcPr>
          <w:p w:rsidR="00894BC3" w:rsidRDefault="00655DCA">
            <w:r>
              <w:t>“I cannot think the Devil ma</w:t>
            </w:r>
            <w:r w:rsidR="00894BC3">
              <w:t>y own a woman’s soul, Mr. Hale, when she keeps an upright way, as I have.  I am a good woman, I k</w:t>
            </w:r>
            <w:r>
              <w:t>now it; and if you believe I ma</w:t>
            </w:r>
            <w:bookmarkStart w:id="0" w:name="_GoBack"/>
            <w:bookmarkEnd w:id="0"/>
            <w:r w:rsidR="00894BC3">
              <w:t>y do only good work in the world, and yet be secretly bound to Satan, then I must tell you, sir, I do not believe it.”(1123)</w:t>
            </w:r>
          </w:p>
        </w:tc>
        <w:tc>
          <w:tcPr>
            <w:tcW w:w="5400" w:type="dxa"/>
          </w:tcPr>
          <w:p w:rsidR="00894BC3" w:rsidRDefault="00894BC3"/>
        </w:tc>
      </w:tr>
      <w:tr w:rsidR="00894BC3" w:rsidTr="00894BC3">
        <w:trPr>
          <w:trHeight w:val="1425"/>
        </w:trPr>
        <w:tc>
          <w:tcPr>
            <w:tcW w:w="1530" w:type="dxa"/>
            <w:vAlign w:val="center"/>
          </w:tcPr>
          <w:p w:rsidR="00894BC3" w:rsidRPr="006039CF" w:rsidRDefault="00894BC3" w:rsidP="00894BC3">
            <w:pPr>
              <w:jc w:val="center"/>
              <w:rPr>
                <w:b/>
              </w:rPr>
            </w:pPr>
            <w:r>
              <w:rPr>
                <w:b/>
              </w:rPr>
              <w:t>John Proctor</w:t>
            </w:r>
          </w:p>
        </w:tc>
        <w:tc>
          <w:tcPr>
            <w:tcW w:w="5850" w:type="dxa"/>
          </w:tcPr>
          <w:p w:rsidR="00894BC3" w:rsidRDefault="00894BC3">
            <w:r>
              <w:t>“No more! I should have roared you down when first you told me your suspicion.  But I wilted, and, like a Christian, I confessed.  Confessed!</w:t>
            </w:r>
            <w:r>
              <w:rPr>
                <w:b/>
              </w:rPr>
              <w:t xml:space="preserve"> </w:t>
            </w:r>
            <w:r w:rsidRPr="00894BC3">
              <w:t>Some dream I had must have mistaken you for God that day.  But you’</w:t>
            </w:r>
            <w:r>
              <w:t>re not</w:t>
            </w:r>
            <w:proofErr w:type="gramStart"/>
            <w:r>
              <w:t>,  and</w:t>
            </w:r>
            <w:proofErr w:type="gramEnd"/>
            <w:r>
              <w:t xml:space="preserve"> let you remember it! Let you look sometimes for the goodness in me, and judge me not.” (1117)</w:t>
            </w:r>
          </w:p>
        </w:tc>
        <w:tc>
          <w:tcPr>
            <w:tcW w:w="5400" w:type="dxa"/>
          </w:tcPr>
          <w:p w:rsidR="00894BC3" w:rsidRDefault="00894BC3"/>
        </w:tc>
      </w:tr>
      <w:tr w:rsidR="00894BC3" w:rsidTr="00894BC3">
        <w:trPr>
          <w:trHeight w:val="1410"/>
        </w:trPr>
        <w:tc>
          <w:tcPr>
            <w:tcW w:w="1530" w:type="dxa"/>
            <w:vAlign w:val="center"/>
          </w:tcPr>
          <w:p w:rsidR="00894BC3" w:rsidRPr="006039CF" w:rsidRDefault="00894BC3" w:rsidP="00724DCB">
            <w:pPr>
              <w:jc w:val="center"/>
              <w:rPr>
                <w:b/>
              </w:rPr>
            </w:pPr>
            <w:r>
              <w:rPr>
                <w:b/>
              </w:rPr>
              <w:t>John Proctor</w:t>
            </w:r>
          </w:p>
          <w:p w:rsidR="00894BC3" w:rsidRPr="006039CF" w:rsidRDefault="00894BC3" w:rsidP="00724DCB">
            <w:pPr>
              <w:jc w:val="center"/>
              <w:rPr>
                <w:b/>
              </w:rPr>
            </w:pPr>
          </w:p>
        </w:tc>
        <w:tc>
          <w:tcPr>
            <w:tcW w:w="5850" w:type="dxa"/>
          </w:tcPr>
          <w:p w:rsidR="00894BC3" w:rsidRDefault="00894BC3">
            <w:r>
              <w:t>“If she is innocent! Why do you never wonder if Parris be innocent, or Abigail?  Is the accuser always holy now</w:t>
            </w:r>
            <w:proofErr w:type="gramStart"/>
            <w:r>
              <w:t>?. . .</w:t>
            </w:r>
            <w:proofErr w:type="gramEnd"/>
            <w:r>
              <w:t xml:space="preserve"> I’ll tell you what is walking Salem—vengeance is walking Salem.  We are what we always were in Salem, but now the little crazy children are jangling the keys of the kingdom, and common vengeance writes the law!” (1127)</w:t>
            </w:r>
          </w:p>
        </w:tc>
        <w:tc>
          <w:tcPr>
            <w:tcW w:w="5400" w:type="dxa"/>
          </w:tcPr>
          <w:p w:rsidR="00894BC3" w:rsidRDefault="00894BC3"/>
        </w:tc>
      </w:tr>
      <w:tr w:rsidR="00894BC3" w:rsidTr="00894BC3">
        <w:trPr>
          <w:trHeight w:val="1500"/>
        </w:trPr>
        <w:tc>
          <w:tcPr>
            <w:tcW w:w="1530" w:type="dxa"/>
            <w:vAlign w:val="center"/>
          </w:tcPr>
          <w:p w:rsidR="00894BC3" w:rsidRDefault="00894BC3" w:rsidP="00724DCB">
            <w:pPr>
              <w:jc w:val="center"/>
              <w:rPr>
                <w:b/>
              </w:rPr>
            </w:pPr>
            <w:r>
              <w:rPr>
                <w:b/>
              </w:rPr>
              <w:t>Mary Warren</w:t>
            </w:r>
          </w:p>
          <w:p w:rsidR="00894BC3" w:rsidRPr="006039CF" w:rsidRDefault="00894BC3" w:rsidP="00724DCB">
            <w:pPr>
              <w:jc w:val="center"/>
              <w:rPr>
                <w:b/>
              </w:rPr>
            </w:pPr>
          </w:p>
        </w:tc>
        <w:tc>
          <w:tcPr>
            <w:tcW w:w="5850" w:type="dxa"/>
          </w:tcPr>
          <w:p w:rsidR="00894BC3" w:rsidRDefault="00894BC3">
            <w:r>
              <w:t>“I must tell you, sir, I will be gone every day now.  I am amazed you do not see what weighty work we do.” (1118)</w:t>
            </w:r>
          </w:p>
        </w:tc>
        <w:tc>
          <w:tcPr>
            <w:tcW w:w="5400" w:type="dxa"/>
          </w:tcPr>
          <w:p w:rsidR="00894BC3" w:rsidRDefault="00894BC3"/>
        </w:tc>
      </w:tr>
      <w:tr w:rsidR="00894BC3" w:rsidTr="00894BC3">
        <w:trPr>
          <w:trHeight w:val="1305"/>
        </w:trPr>
        <w:tc>
          <w:tcPr>
            <w:tcW w:w="1530" w:type="dxa"/>
            <w:vAlign w:val="center"/>
          </w:tcPr>
          <w:p w:rsidR="00894BC3" w:rsidRPr="006039CF" w:rsidRDefault="00894BC3" w:rsidP="00724DCB">
            <w:pPr>
              <w:jc w:val="center"/>
              <w:rPr>
                <w:b/>
              </w:rPr>
            </w:pPr>
            <w:r>
              <w:rPr>
                <w:b/>
              </w:rPr>
              <w:lastRenderedPageBreak/>
              <w:t>Mary Warren</w:t>
            </w:r>
          </w:p>
        </w:tc>
        <w:tc>
          <w:tcPr>
            <w:tcW w:w="5850" w:type="dxa"/>
          </w:tcPr>
          <w:p w:rsidR="00894BC3" w:rsidRDefault="00894BC3">
            <w:r>
              <w:t xml:space="preserve">“She’ll kill me for </w:t>
            </w:r>
            <w:proofErr w:type="spellStart"/>
            <w:r>
              <w:t>sayin</w:t>
            </w:r>
            <w:proofErr w:type="spellEnd"/>
            <w:r>
              <w:t xml:space="preserve">’ that! </w:t>
            </w:r>
            <w:proofErr w:type="spellStart"/>
            <w:r>
              <w:t>Abby’ll</w:t>
            </w:r>
            <w:proofErr w:type="spellEnd"/>
            <w:r>
              <w:t xml:space="preserve"> charge lechery on you, Mr. Proctor!”  (1129)</w:t>
            </w:r>
          </w:p>
        </w:tc>
        <w:tc>
          <w:tcPr>
            <w:tcW w:w="5400" w:type="dxa"/>
          </w:tcPr>
          <w:p w:rsidR="00894BC3" w:rsidRDefault="00894BC3"/>
        </w:tc>
      </w:tr>
      <w:tr w:rsidR="00894BC3" w:rsidTr="00894BC3">
        <w:trPr>
          <w:trHeight w:val="1305"/>
        </w:trPr>
        <w:tc>
          <w:tcPr>
            <w:tcW w:w="1530" w:type="dxa"/>
            <w:vAlign w:val="center"/>
          </w:tcPr>
          <w:p w:rsidR="00894BC3" w:rsidRDefault="00894BC3" w:rsidP="00724DCB">
            <w:pPr>
              <w:jc w:val="center"/>
              <w:rPr>
                <w:b/>
              </w:rPr>
            </w:pPr>
            <w:r>
              <w:rPr>
                <w:b/>
              </w:rPr>
              <w:t>Rev. Hale</w:t>
            </w:r>
          </w:p>
        </w:tc>
        <w:tc>
          <w:tcPr>
            <w:tcW w:w="5850" w:type="dxa"/>
          </w:tcPr>
          <w:p w:rsidR="00894BC3" w:rsidRDefault="00B9289C">
            <w:r>
              <w:t>“I come of my own, without the court’s authority. . . I am a stranger here, as you know.  And in my ignorance I find it hard to draw a clear opinion of them that come accused before the court. And so. . . I go from house to house.” (1120)</w:t>
            </w:r>
          </w:p>
        </w:tc>
        <w:tc>
          <w:tcPr>
            <w:tcW w:w="5400" w:type="dxa"/>
          </w:tcPr>
          <w:p w:rsidR="00894BC3" w:rsidRDefault="00894BC3"/>
        </w:tc>
      </w:tr>
      <w:tr w:rsidR="00894BC3" w:rsidTr="00894BC3">
        <w:trPr>
          <w:trHeight w:val="1305"/>
        </w:trPr>
        <w:tc>
          <w:tcPr>
            <w:tcW w:w="1530" w:type="dxa"/>
            <w:vAlign w:val="center"/>
          </w:tcPr>
          <w:p w:rsidR="00894BC3" w:rsidRDefault="00894BC3" w:rsidP="00724DCB">
            <w:pPr>
              <w:jc w:val="center"/>
              <w:rPr>
                <w:b/>
              </w:rPr>
            </w:pPr>
            <w:r>
              <w:rPr>
                <w:b/>
              </w:rPr>
              <w:t>Rev. Hale</w:t>
            </w:r>
          </w:p>
        </w:tc>
        <w:tc>
          <w:tcPr>
            <w:tcW w:w="5850" w:type="dxa"/>
          </w:tcPr>
          <w:p w:rsidR="00894BC3" w:rsidRDefault="00B9289C">
            <w:r>
              <w:t>“There is a misty plot afoot so subtle we should be criminal to cling to old respects and ancient friendships.  I have seen too many frightful proofs in court—the Devil is alive in Salem, and we dare not quail to follow wherever the accusing finger points.” (1125)</w:t>
            </w:r>
          </w:p>
        </w:tc>
        <w:tc>
          <w:tcPr>
            <w:tcW w:w="5400" w:type="dxa"/>
          </w:tcPr>
          <w:p w:rsidR="00894BC3" w:rsidRDefault="00894BC3"/>
        </w:tc>
      </w:tr>
      <w:tr w:rsidR="00B9289C" w:rsidTr="00894BC3">
        <w:trPr>
          <w:trHeight w:val="1305"/>
        </w:trPr>
        <w:tc>
          <w:tcPr>
            <w:tcW w:w="1530" w:type="dxa"/>
            <w:vAlign w:val="center"/>
          </w:tcPr>
          <w:p w:rsidR="00B9289C" w:rsidRDefault="00B9289C" w:rsidP="00724DCB">
            <w:pPr>
              <w:jc w:val="center"/>
              <w:rPr>
                <w:b/>
              </w:rPr>
            </w:pPr>
            <w:r>
              <w:rPr>
                <w:b/>
              </w:rPr>
              <w:t>John Proctor</w:t>
            </w:r>
          </w:p>
        </w:tc>
        <w:tc>
          <w:tcPr>
            <w:tcW w:w="5850" w:type="dxa"/>
          </w:tcPr>
          <w:p w:rsidR="00B9289C" w:rsidRDefault="00B9289C">
            <w:r>
              <w:t>“My wife will never die for me! I will bring your guts into your mouth but that goodness will not die for me!” (1129)</w:t>
            </w:r>
          </w:p>
        </w:tc>
        <w:tc>
          <w:tcPr>
            <w:tcW w:w="5400" w:type="dxa"/>
          </w:tcPr>
          <w:p w:rsidR="00B9289C" w:rsidRDefault="00B9289C"/>
        </w:tc>
      </w:tr>
    </w:tbl>
    <w:p w:rsidR="00BA1651" w:rsidRDefault="00BA1651"/>
    <w:sectPr w:rsidR="00BA1651" w:rsidSect="00724DCB">
      <w:headerReference w:type="default" r:id="rId6"/>
      <w:pgSz w:w="15840" w:h="12240" w:orient="landscape"/>
      <w:pgMar w:top="72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B61" w:rsidRDefault="00164B61" w:rsidP="00C15EEA">
      <w:pPr>
        <w:spacing w:after="0" w:line="240" w:lineRule="auto"/>
      </w:pPr>
      <w:r>
        <w:separator/>
      </w:r>
    </w:p>
  </w:endnote>
  <w:endnote w:type="continuationSeparator" w:id="0">
    <w:p w:rsidR="00164B61" w:rsidRDefault="00164B61" w:rsidP="00C15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B61" w:rsidRDefault="00164B61" w:rsidP="00C15EEA">
      <w:pPr>
        <w:spacing w:after="0" w:line="240" w:lineRule="auto"/>
      </w:pPr>
      <w:r>
        <w:separator/>
      </w:r>
    </w:p>
  </w:footnote>
  <w:footnote w:type="continuationSeparator" w:id="0">
    <w:p w:rsidR="00164B61" w:rsidRDefault="00164B61" w:rsidP="00C15E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E2D" w:rsidRPr="003D0E2D" w:rsidRDefault="00C15EEA" w:rsidP="00C15EEA">
    <w:pPr>
      <w:pStyle w:val="Header"/>
      <w:jc w:val="center"/>
    </w:pPr>
    <w:r w:rsidRPr="003D0E2D">
      <w:rPr>
        <w:i/>
      </w:rPr>
      <w:t>The Crucible</w:t>
    </w:r>
    <w:r w:rsidR="003D0E2D">
      <w:t xml:space="preserve"> Act II Quotes</w:t>
    </w:r>
  </w:p>
  <w:p w:rsidR="00C15EEA" w:rsidRDefault="00B9289C" w:rsidP="00C15EEA">
    <w:pPr>
      <w:pStyle w:val="Header"/>
      <w:jc w:val="center"/>
    </w:pPr>
    <w:r>
      <w:t>E</w:t>
    </w:r>
    <w:r w:rsidR="003D0E2D">
      <w:t xml:space="preserve">xplain the importance of </w:t>
    </w:r>
    <w:r>
      <w:t>each</w:t>
    </w:r>
    <w:r w:rsidR="003D0E2D">
      <w:t xml:space="preserve"> quote to the rest of the play.  Think about literary elements, plot, theme, and </w:t>
    </w:r>
    <w:r>
      <w:t>characterization</w:t>
    </w:r>
    <w:r w:rsidR="003D0E2D">
      <w:t xml:space="preserve">. </w:t>
    </w:r>
  </w:p>
  <w:p w:rsidR="00C15EEA" w:rsidRDefault="00C15E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DCB"/>
    <w:rsid w:val="00164B61"/>
    <w:rsid w:val="003230AD"/>
    <w:rsid w:val="003D0E2D"/>
    <w:rsid w:val="005C153A"/>
    <w:rsid w:val="006039CF"/>
    <w:rsid w:val="00655DCA"/>
    <w:rsid w:val="00724DCB"/>
    <w:rsid w:val="00894BC3"/>
    <w:rsid w:val="008C7106"/>
    <w:rsid w:val="00976A31"/>
    <w:rsid w:val="00B9289C"/>
    <w:rsid w:val="00BA1651"/>
    <w:rsid w:val="00C15EEA"/>
    <w:rsid w:val="00FA0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77B4A1-123B-44BF-8576-B759F353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EEA"/>
  </w:style>
  <w:style w:type="paragraph" w:styleId="Footer">
    <w:name w:val="footer"/>
    <w:basedOn w:val="Normal"/>
    <w:link w:val="FooterChar"/>
    <w:uiPriority w:val="99"/>
    <w:unhideWhenUsed/>
    <w:rsid w:val="00C15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EEA"/>
  </w:style>
  <w:style w:type="paragraph" w:styleId="BalloonText">
    <w:name w:val="Balloon Text"/>
    <w:basedOn w:val="Normal"/>
    <w:link w:val="BalloonTextChar"/>
    <w:uiPriority w:val="99"/>
    <w:semiHidden/>
    <w:unhideWhenUsed/>
    <w:rsid w:val="00C15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E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Hall</dc:creator>
  <cp:keywords/>
  <dc:description/>
  <cp:lastModifiedBy>Liz Hall</cp:lastModifiedBy>
  <cp:revision>4</cp:revision>
  <cp:lastPrinted>2013-08-12T14:20:00Z</cp:lastPrinted>
  <dcterms:created xsi:type="dcterms:W3CDTF">2013-08-13T17:00:00Z</dcterms:created>
  <dcterms:modified xsi:type="dcterms:W3CDTF">2014-08-07T19:49:00Z</dcterms:modified>
</cp:coreProperties>
</file>