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5850"/>
        <w:gridCol w:w="5580"/>
      </w:tblGrid>
      <w:tr w:rsidR="00D6097A" w:rsidTr="00D6097A">
        <w:trPr>
          <w:trHeight w:val="690"/>
        </w:trPr>
        <w:tc>
          <w:tcPr>
            <w:tcW w:w="1530" w:type="dxa"/>
            <w:vAlign w:val="center"/>
          </w:tcPr>
          <w:p w:rsidR="00D6097A" w:rsidRPr="00724DCB" w:rsidRDefault="00D6097A" w:rsidP="00724DCB">
            <w:pPr>
              <w:jc w:val="center"/>
              <w:rPr>
                <w:b/>
                <w:sz w:val="32"/>
                <w:szCs w:val="32"/>
              </w:rPr>
            </w:pPr>
            <w:r w:rsidRPr="00724DCB">
              <w:rPr>
                <w:b/>
                <w:sz w:val="32"/>
                <w:szCs w:val="32"/>
              </w:rPr>
              <w:t>Character</w:t>
            </w:r>
          </w:p>
        </w:tc>
        <w:tc>
          <w:tcPr>
            <w:tcW w:w="5850" w:type="dxa"/>
            <w:vAlign w:val="center"/>
          </w:tcPr>
          <w:p w:rsidR="00D6097A" w:rsidRPr="00724DCB" w:rsidRDefault="00D6097A" w:rsidP="00724DCB">
            <w:pPr>
              <w:jc w:val="center"/>
              <w:rPr>
                <w:b/>
                <w:sz w:val="32"/>
                <w:szCs w:val="32"/>
              </w:rPr>
            </w:pPr>
            <w:r w:rsidRPr="00724DCB">
              <w:rPr>
                <w:b/>
                <w:sz w:val="32"/>
                <w:szCs w:val="32"/>
              </w:rPr>
              <w:t>Important Quote(s)</w:t>
            </w:r>
          </w:p>
        </w:tc>
        <w:tc>
          <w:tcPr>
            <w:tcW w:w="5580" w:type="dxa"/>
            <w:vAlign w:val="center"/>
          </w:tcPr>
          <w:p w:rsidR="00D6097A" w:rsidRPr="00724DCB" w:rsidRDefault="00D6097A" w:rsidP="00724DCB">
            <w:pPr>
              <w:jc w:val="center"/>
              <w:rPr>
                <w:b/>
                <w:sz w:val="32"/>
                <w:szCs w:val="32"/>
              </w:rPr>
            </w:pPr>
            <w:r w:rsidRPr="00724DCB">
              <w:rPr>
                <w:b/>
                <w:sz w:val="32"/>
                <w:szCs w:val="32"/>
              </w:rPr>
              <w:t>Importance to Play</w:t>
            </w:r>
          </w:p>
        </w:tc>
      </w:tr>
      <w:tr w:rsidR="00D6097A" w:rsidTr="00D6097A">
        <w:trPr>
          <w:trHeight w:val="1440"/>
        </w:trPr>
        <w:tc>
          <w:tcPr>
            <w:tcW w:w="1530" w:type="dxa"/>
            <w:vAlign w:val="center"/>
          </w:tcPr>
          <w:p w:rsidR="00D6097A" w:rsidRDefault="00E07F84" w:rsidP="00724DCB">
            <w:pPr>
              <w:jc w:val="center"/>
              <w:rPr>
                <w:b/>
              </w:rPr>
            </w:pPr>
            <w:r>
              <w:rPr>
                <w:b/>
              </w:rPr>
              <w:t>Parris</w:t>
            </w:r>
          </w:p>
          <w:p w:rsidR="00E07F84" w:rsidRPr="006039CF" w:rsidRDefault="00E07F84" w:rsidP="00724DCB">
            <w:pPr>
              <w:jc w:val="center"/>
              <w:rPr>
                <w:b/>
              </w:rPr>
            </w:pPr>
            <w:r>
              <w:rPr>
                <w:b/>
              </w:rPr>
              <w:t>P 1157</w:t>
            </w:r>
          </w:p>
        </w:tc>
        <w:tc>
          <w:tcPr>
            <w:tcW w:w="5850" w:type="dxa"/>
          </w:tcPr>
          <w:p w:rsidR="00D6097A" w:rsidRDefault="00544C19" w:rsidP="00724DCB">
            <w:r>
              <w:t xml:space="preserve">“Now Mr. </w:t>
            </w:r>
            <w:proofErr w:type="spellStart"/>
            <w:r>
              <w:t>Hale’s</w:t>
            </w:r>
            <w:proofErr w:type="spellEnd"/>
            <w:r>
              <w:t xml:space="preserve"> returned, there is hope, I think—for if he bring even one of these to God, that confession surely damns the others in the public eye and none may doubt more that they are all linked to Hell.”</w:t>
            </w:r>
          </w:p>
        </w:tc>
        <w:tc>
          <w:tcPr>
            <w:tcW w:w="5580" w:type="dxa"/>
          </w:tcPr>
          <w:p w:rsidR="00D6097A" w:rsidRDefault="00D6097A"/>
        </w:tc>
      </w:tr>
      <w:tr w:rsidR="00D6097A" w:rsidTr="00D6097A">
        <w:trPr>
          <w:trHeight w:val="1425"/>
        </w:trPr>
        <w:tc>
          <w:tcPr>
            <w:tcW w:w="1530" w:type="dxa"/>
            <w:vAlign w:val="center"/>
          </w:tcPr>
          <w:p w:rsidR="00D6097A" w:rsidRDefault="00D6097A" w:rsidP="00724DCB">
            <w:pPr>
              <w:jc w:val="center"/>
              <w:rPr>
                <w:b/>
              </w:rPr>
            </w:pPr>
            <w:r>
              <w:rPr>
                <w:b/>
              </w:rPr>
              <w:t>Judge</w:t>
            </w:r>
          </w:p>
          <w:p w:rsidR="00D6097A" w:rsidRDefault="00D6097A" w:rsidP="00724DCB">
            <w:pPr>
              <w:jc w:val="center"/>
              <w:rPr>
                <w:b/>
              </w:rPr>
            </w:pPr>
            <w:r>
              <w:rPr>
                <w:b/>
              </w:rPr>
              <w:t>Danforth</w:t>
            </w:r>
          </w:p>
          <w:p w:rsidR="00E07F84" w:rsidRPr="006039CF" w:rsidRDefault="00E07F84" w:rsidP="00724DCB">
            <w:pPr>
              <w:jc w:val="center"/>
              <w:rPr>
                <w:b/>
              </w:rPr>
            </w:pPr>
            <w:r>
              <w:rPr>
                <w:b/>
              </w:rPr>
              <w:t>P 1158</w:t>
            </w:r>
          </w:p>
        </w:tc>
        <w:tc>
          <w:tcPr>
            <w:tcW w:w="5850" w:type="dxa"/>
          </w:tcPr>
          <w:p w:rsidR="00D6097A" w:rsidRDefault="00544C19">
            <w:r>
              <w:t>“Postponement now speaks a floundering on my part; reprieve or pardon must cast doubt upon the guilt of them that died till now.  While I speak God’s law, I will not crack its voice with whimpering.”</w:t>
            </w:r>
          </w:p>
        </w:tc>
        <w:tc>
          <w:tcPr>
            <w:tcW w:w="5580" w:type="dxa"/>
          </w:tcPr>
          <w:p w:rsidR="00D6097A" w:rsidRDefault="00D6097A"/>
        </w:tc>
      </w:tr>
      <w:tr w:rsidR="00D6097A" w:rsidTr="00D6097A">
        <w:trPr>
          <w:trHeight w:val="1425"/>
        </w:trPr>
        <w:tc>
          <w:tcPr>
            <w:tcW w:w="1530" w:type="dxa"/>
            <w:vAlign w:val="center"/>
          </w:tcPr>
          <w:p w:rsidR="00D6097A" w:rsidRDefault="00E07F84" w:rsidP="00724DCB">
            <w:pPr>
              <w:jc w:val="center"/>
              <w:rPr>
                <w:b/>
              </w:rPr>
            </w:pPr>
            <w:r>
              <w:rPr>
                <w:b/>
              </w:rPr>
              <w:t>Rev. Hale</w:t>
            </w:r>
          </w:p>
          <w:p w:rsidR="00E07F84" w:rsidRPr="006039CF" w:rsidRDefault="00E07F84" w:rsidP="00724DCB">
            <w:pPr>
              <w:jc w:val="center"/>
              <w:rPr>
                <w:b/>
              </w:rPr>
            </w:pPr>
            <w:r>
              <w:rPr>
                <w:b/>
              </w:rPr>
              <w:t>P 1159</w:t>
            </w:r>
          </w:p>
        </w:tc>
        <w:tc>
          <w:tcPr>
            <w:tcW w:w="5850" w:type="dxa"/>
          </w:tcPr>
          <w:p w:rsidR="00D6097A" w:rsidRDefault="00D6097A"/>
        </w:tc>
        <w:tc>
          <w:tcPr>
            <w:tcW w:w="5580" w:type="dxa"/>
          </w:tcPr>
          <w:p w:rsidR="00D6097A" w:rsidRDefault="00544C19">
            <w:r>
              <w:t xml:space="preserve">This quote shows how guilty Rev. Hale feels for being a part of the witch trials or for personally condemning 72 people.  </w:t>
            </w:r>
          </w:p>
          <w:p w:rsidR="00544C19" w:rsidRDefault="00544C19">
            <w:r>
              <w:t>This establishes Hale as a dynamic character and shows his dramatic change from “hero of Salem” to “murderer.”</w:t>
            </w:r>
          </w:p>
        </w:tc>
      </w:tr>
      <w:tr w:rsidR="00D6097A" w:rsidTr="00D6097A">
        <w:trPr>
          <w:trHeight w:val="1500"/>
        </w:trPr>
        <w:tc>
          <w:tcPr>
            <w:tcW w:w="1530" w:type="dxa"/>
            <w:vAlign w:val="center"/>
          </w:tcPr>
          <w:p w:rsidR="00D6097A" w:rsidRDefault="00D6097A" w:rsidP="00724DCB">
            <w:pPr>
              <w:jc w:val="center"/>
              <w:rPr>
                <w:b/>
              </w:rPr>
            </w:pPr>
            <w:r>
              <w:rPr>
                <w:b/>
              </w:rPr>
              <w:t>John Proctor</w:t>
            </w:r>
          </w:p>
          <w:p w:rsidR="00E07F84" w:rsidRDefault="00E07F84" w:rsidP="00724DCB">
            <w:pPr>
              <w:jc w:val="center"/>
              <w:rPr>
                <w:b/>
              </w:rPr>
            </w:pPr>
            <w:r>
              <w:rPr>
                <w:b/>
              </w:rPr>
              <w:t>P 1162</w:t>
            </w:r>
          </w:p>
          <w:p w:rsidR="00D6097A" w:rsidRPr="006039CF" w:rsidRDefault="00D6097A" w:rsidP="00724DCB">
            <w:pPr>
              <w:jc w:val="center"/>
              <w:rPr>
                <w:b/>
              </w:rPr>
            </w:pPr>
          </w:p>
        </w:tc>
        <w:tc>
          <w:tcPr>
            <w:tcW w:w="5850" w:type="dxa"/>
          </w:tcPr>
          <w:p w:rsidR="00D6097A" w:rsidRDefault="00D6097A"/>
        </w:tc>
        <w:tc>
          <w:tcPr>
            <w:tcW w:w="5580" w:type="dxa"/>
          </w:tcPr>
          <w:p w:rsidR="00D6097A" w:rsidRDefault="00D6097A"/>
        </w:tc>
      </w:tr>
      <w:tr w:rsidR="00D6097A" w:rsidTr="00D6097A">
        <w:trPr>
          <w:trHeight w:val="1305"/>
        </w:trPr>
        <w:tc>
          <w:tcPr>
            <w:tcW w:w="1530" w:type="dxa"/>
            <w:vAlign w:val="center"/>
          </w:tcPr>
          <w:p w:rsidR="00D6097A" w:rsidRDefault="00D6097A" w:rsidP="00724DCB">
            <w:pPr>
              <w:jc w:val="center"/>
              <w:rPr>
                <w:b/>
              </w:rPr>
            </w:pPr>
            <w:r>
              <w:rPr>
                <w:b/>
              </w:rPr>
              <w:t>Elizabeth Proctor</w:t>
            </w:r>
          </w:p>
          <w:p w:rsidR="00E07F84" w:rsidRPr="006039CF" w:rsidRDefault="00E07F84" w:rsidP="00724DCB">
            <w:pPr>
              <w:jc w:val="center"/>
              <w:rPr>
                <w:b/>
              </w:rPr>
            </w:pPr>
            <w:r>
              <w:rPr>
                <w:b/>
              </w:rPr>
              <w:t>P 1162</w:t>
            </w:r>
          </w:p>
        </w:tc>
        <w:tc>
          <w:tcPr>
            <w:tcW w:w="5850" w:type="dxa"/>
          </w:tcPr>
          <w:p w:rsidR="00D6097A" w:rsidRDefault="000F7065">
            <w:r>
              <w:t>“I have sins of my own to count. It needs a cold wife to prompt lechery.”</w:t>
            </w:r>
          </w:p>
        </w:tc>
        <w:tc>
          <w:tcPr>
            <w:tcW w:w="5580" w:type="dxa"/>
          </w:tcPr>
          <w:p w:rsidR="00D6097A" w:rsidRDefault="00D6097A"/>
        </w:tc>
      </w:tr>
      <w:tr w:rsidR="00D6097A" w:rsidTr="00D6097A">
        <w:trPr>
          <w:trHeight w:val="1305"/>
        </w:trPr>
        <w:tc>
          <w:tcPr>
            <w:tcW w:w="1530" w:type="dxa"/>
            <w:vAlign w:val="center"/>
          </w:tcPr>
          <w:p w:rsidR="00D6097A" w:rsidRDefault="00E07F84" w:rsidP="00724DCB">
            <w:pPr>
              <w:jc w:val="center"/>
              <w:rPr>
                <w:b/>
              </w:rPr>
            </w:pPr>
            <w:r>
              <w:rPr>
                <w:b/>
              </w:rPr>
              <w:t>John Proctor</w:t>
            </w:r>
          </w:p>
          <w:p w:rsidR="00E07F84" w:rsidRDefault="00E07F84" w:rsidP="00724DCB">
            <w:pPr>
              <w:jc w:val="center"/>
              <w:rPr>
                <w:b/>
              </w:rPr>
            </w:pPr>
            <w:r>
              <w:rPr>
                <w:b/>
              </w:rPr>
              <w:t>P 1165</w:t>
            </w:r>
          </w:p>
        </w:tc>
        <w:tc>
          <w:tcPr>
            <w:tcW w:w="5850" w:type="dxa"/>
          </w:tcPr>
          <w:p w:rsidR="00D6097A" w:rsidRDefault="00D6097A"/>
        </w:tc>
        <w:tc>
          <w:tcPr>
            <w:tcW w:w="5580" w:type="dxa"/>
          </w:tcPr>
          <w:p w:rsidR="00D6097A" w:rsidRDefault="000F7065">
            <w:r>
              <w:t>This quote shows John’s goodness in which he refuses to name names.  He will not turn on his own friends no matter what.  Miller also uses this scene to emphasize the allegory of the McCarthy trials in which people were forced to name names.</w:t>
            </w:r>
          </w:p>
        </w:tc>
      </w:tr>
      <w:tr w:rsidR="00D6097A" w:rsidTr="00D6097A">
        <w:trPr>
          <w:trHeight w:val="1305"/>
        </w:trPr>
        <w:tc>
          <w:tcPr>
            <w:tcW w:w="1530" w:type="dxa"/>
            <w:vAlign w:val="center"/>
          </w:tcPr>
          <w:p w:rsidR="00D6097A" w:rsidRDefault="00E07F84" w:rsidP="00724DCB">
            <w:pPr>
              <w:jc w:val="center"/>
              <w:rPr>
                <w:b/>
              </w:rPr>
            </w:pPr>
            <w:r>
              <w:rPr>
                <w:b/>
              </w:rPr>
              <w:lastRenderedPageBreak/>
              <w:t>John Proctor</w:t>
            </w:r>
          </w:p>
          <w:p w:rsidR="00E07F84" w:rsidRDefault="00E07F84" w:rsidP="00724DCB">
            <w:pPr>
              <w:jc w:val="center"/>
              <w:rPr>
                <w:b/>
              </w:rPr>
            </w:pPr>
            <w:r>
              <w:rPr>
                <w:b/>
              </w:rPr>
              <w:t>P 1166</w:t>
            </w:r>
          </w:p>
        </w:tc>
        <w:tc>
          <w:tcPr>
            <w:tcW w:w="5850" w:type="dxa"/>
          </w:tcPr>
          <w:p w:rsidR="00D6097A" w:rsidRDefault="000F7065">
            <w:r>
              <w:t>“Because it is my name</w:t>
            </w:r>
            <w:proofErr w:type="gramStart"/>
            <w:r>
              <w:t xml:space="preserve">! </w:t>
            </w:r>
            <w:proofErr w:type="gramEnd"/>
            <w:r>
              <w:t>. . . I have given you my soul; leave me my name!”</w:t>
            </w:r>
          </w:p>
        </w:tc>
        <w:tc>
          <w:tcPr>
            <w:tcW w:w="5580" w:type="dxa"/>
          </w:tcPr>
          <w:p w:rsidR="00D6097A" w:rsidRDefault="00D6097A"/>
        </w:tc>
      </w:tr>
      <w:tr w:rsidR="00E07F84" w:rsidTr="00D6097A">
        <w:trPr>
          <w:trHeight w:val="1305"/>
        </w:trPr>
        <w:tc>
          <w:tcPr>
            <w:tcW w:w="1530" w:type="dxa"/>
            <w:vAlign w:val="center"/>
          </w:tcPr>
          <w:p w:rsidR="00E07F84" w:rsidRDefault="00E07F84" w:rsidP="00724DCB">
            <w:pPr>
              <w:jc w:val="center"/>
              <w:rPr>
                <w:b/>
              </w:rPr>
            </w:pPr>
            <w:r>
              <w:rPr>
                <w:b/>
              </w:rPr>
              <w:t>John Proctor</w:t>
            </w:r>
          </w:p>
          <w:p w:rsidR="00E07F84" w:rsidRDefault="00E07F84" w:rsidP="00724DCB">
            <w:pPr>
              <w:jc w:val="center"/>
              <w:rPr>
                <w:b/>
              </w:rPr>
            </w:pPr>
            <w:r>
              <w:rPr>
                <w:b/>
              </w:rPr>
              <w:t>P 1166</w:t>
            </w:r>
          </w:p>
        </w:tc>
        <w:tc>
          <w:tcPr>
            <w:tcW w:w="5850" w:type="dxa"/>
          </w:tcPr>
          <w:p w:rsidR="00E07F84" w:rsidRDefault="00E07F84"/>
        </w:tc>
        <w:tc>
          <w:tcPr>
            <w:tcW w:w="5580" w:type="dxa"/>
          </w:tcPr>
          <w:p w:rsidR="00E07F84" w:rsidRDefault="00E07F84">
            <w:r>
              <w:t>John finally realizes that he is a good man despite his sin of adultery</w:t>
            </w:r>
            <w:r w:rsidR="001C5541">
              <w:t xml:space="preserve"> and he is able to go to the gallows with his goodness.</w:t>
            </w:r>
          </w:p>
        </w:tc>
      </w:tr>
      <w:tr w:rsidR="00D6097A" w:rsidTr="00D6097A">
        <w:trPr>
          <w:trHeight w:val="1305"/>
        </w:trPr>
        <w:tc>
          <w:tcPr>
            <w:tcW w:w="1530" w:type="dxa"/>
            <w:vAlign w:val="center"/>
          </w:tcPr>
          <w:p w:rsidR="00D6097A" w:rsidRDefault="00E07F84" w:rsidP="00724DCB">
            <w:pPr>
              <w:jc w:val="center"/>
              <w:rPr>
                <w:b/>
              </w:rPr>
            </w:pPr>
            <w:r>
              <w:rPr>
                <w:b/>
              </w:rPr>
              <w:t>Rev. Hale</w:t>
            </w:r>
          </w:p>
          <w:p w:rsidR="00E07F84" w:rsidRDefault="00E07F84" w:rsidP="00724DCB">
            <w:pPr>
              <w:jc w:val="center"/>
              <w:rPr>
                <w:b/>
              </w:rPr>
            </w:pPr>
            <w:r>
              <w:rPr>
                <w:b/>
              </w:rPr>
              <w:t>P 1167</w:t>
            </w:r>
          </w:p>
        </w:tc>
        <w:tc>
          <w:tcPr>
            <w:tcW w:w="5850" w:type="dxa"/>
          </w:tcPr>
          <w:p w:rsidR="00D6097A" w:rsidRDefault="00E07F84">
            <w:r>
              <w:t>“What profit him to bleed?  Shall the dust praise him? Shall the worms declare his truth? Go to him, take his shame away!”</w:t>
            </w:r>
          </w:p>
        </w:tc>
        <w:tc>
          <w:tcPr>
            <w:tcW w:w="5580" w:type="dxa"/>
          </w:tcPr>
          <w:p w:rsidR="00D6097A" w:rsidRDefault="00D6097A"/>
        </w:tc>
      </w:tr>
      <w:tr w:rsidR="001C5541" w:rsidTr="00D6097A">
        <w:trPr>
          <w:trHeight w:val="1305"/>
        </w:trPr>
        <w:tc>
          <w:tcPr>
            <w:tcW w:w="1530" w:type="dxa"/>
            <w:vAlign w:val="center"/>
          </w:tcPr>
          <w:p w:rsidR="001C5541" w:rsidRDefault="001C5541" w:rsidP="00724DCB">
            <w:pPr>
              <w:jc w:val="center"/>
              <w:rPr>
                <w:b/>
              </w:rPr>
            </w:pPr>
            <w:r>
              <w:rPr>
                <w:b/>
              </w:rPr>
              <w:t xml:space="preserve">Judge Danforth </w:t>
            </w:r>
          </w:p>
          <w:p w:rsidR="001C5541" w:rsidRDefault="001C5541" w:rsidP="00724DCB">
            <w:pPr>
              <w:jc w:val="center"/>
              <w:rPr>
                <w:b/>
              </w:rPr>
            </w:pPr>
            <w:r>
              <w:rPr>
                <w:b/>
              </w:rPr>
              <w:t>P 1167</w:t>
            </w:r>
          </w:p>
        </w:tc>
        <w:tc>
          <w:tcPr>
            <w:tcW w:w="5850" w:type="dxa"/>
          </w:tcPr>
          <w:p w:rsidR="001C5541" w:rsidRDefault="001C5541"/>
        </w:tc>
        <w:tc>
          <w:tcPr>
            <w:tcW w:w="5580" w:type="dxa"/>
          </w:tcPr>
          <w:p w:rsidR="001C5541" w:rsidRDefault="001C5541">
            <w:r>
              <w:t>This shows that to the very end, Danforth is unwilling to admit he is wrong.  He is steadfast in his belief and in his power given to him by the court.</w:t>
            </w:r>
          </w:p>
        </w:tc>
      </w:tr>
      <w:tr w:rsidR="00D6097A" w:rsidTr="00D6097A">
        <w:trPr>
          <w:trHeight w:val="1305"/>
        </w:trPr>
        <w:tc>
          <w:tcPr>
            <w:tcW w:w="1530" w:type="dxa"/>
            <w:vAlign w:val="center"/>
          </w:tcPr>
          <w:p w:rsidR="00D6097A" w:rsidRDefault="00E07F84" w:rsidP="00724DCB">
            <w:pPr>
              <w:jc w:val="center"/>
              <w:rPr>
                <w:b/>
              </w:rPr>
            </w:pPr>
            <w:r>
              <w:rPr>
                <w:b/>
              </w:rPr>
              <w:t>Elizabeth Proctor</w:t>
            </w:r>
          </w:p>
          <w:p w:rsidR="00E07F84" w:rsidRDefault="00E07F84" w:rsidP="00724DCB">
            <w:pPr>
              <w:jc w:val="center"/>
              <w:rPr>
                <w:b/>
              </w:rPr>
            </w:pPr>
            <w:r>
              <w:rPr>
                <w:b/>
              </w:rPr>
              <w:t>P 1167</w:t>
            </w:r>
          </w:p>
        </w:tc>
        <w:tc>
          <w:tcPr>
            <w:tcW w:w="5850" w:type="dxa"/>
          </w:tcPr>
          <w:p w:rsidR="00D6097A" w:rsidRDefault="00E07F84">
            <w:r>
              <w:t xml:space="preserve">“He </w:t>
            </w:r>
            <w:proofErr w:type="gramStart"/>
            <w:r>
              <w:t>have</w:t>
            </w:r>
            <w:proofErr w:type="gramEnd"/>
            <w:r>
              <w:t xml:space="preserve"> his goodness now.  God forbid I take it from him!”</w:t>
            </w:r>
          </w:p>
        </w:tc>
        <w:tc>
          <w:tcPr>
            <w:tcW w:w="5580" w:type="dxa"/>
          </w:tcPr>
          <w:p w:rsidR="00D6097A" w:rsidRDefault="00D6097A"/>
        </w:tc>
      </w:tr>
      <w:tr w:rsidR="00D6097A" w:rsidTr="00D6097A">
        <w:trPr>
          <w:trHeight w:val="1305"/>
        </w:trPr>
        <w:tc>
          <w:tcPr>
            <w:tcW w:w="1530" w:type="dxa"/>
            <w:vAlign w:val="center"/>
          </w:tcPr>
          <w:p w:rsidR="00D6097A" w:rsidRDefault="00D6097A" w:rsidP="00724DCB">
            <w:pPr>
              <w:jc w:val="center"/>
              <w:rPr>
                <w:b/>
              </w:rPr>
            </w:pPr>
            <w:bookmarkStart w:id="0" w:name="_GoBack"/>
            <w:bookmarkEnd w:id="0"/>
          </w:p>
        </w:tc>
        <w:tc>
          <w:tcPr>
            <w:tcW w:w="5850" w:type="dxa"/>
          </w:tcPr>
          <w:p w:rsidR="00D6097A" w:rsidRDefault="00D6097A"/>
        </w:tc>
        <w:tc>
          <w:tcPr>
            <w:tcW w:w="5580" w:type="dxa"/>
          </w:tcPr>
          <w:p w:rsidR="00D6097A" w:rsidRDefault="00D6097A"/>
        </w:tc>
      </w:tr>
    </w:tbl>
    <w:p w:rsidR="00BA1651" w:rsidRDefault="00BA1651"/>
    <w:sectPr w:rsidR="00BA1651" w:rsidSect="00724DCB">
      <w:headerReference w:type="default" r:id="rId7"/>
      <w:pgSz w:w="15840" w:h="12240" w:orient="landscape"/>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9D" w:rsidRDefault="00BE159D" w:rsidP="00C15EEA">
      <w:pPr>
        <w:spacing w:after="0" w:line="240" w:lineRule="auto"/>
      </w:pPr>
      <w:r>
        <w:separator/>
      </w:r>
    </w:p>
  </w:endnote>
  <w:endnote w:type="continuationSeparator" w:id="0">
    <w:p w:rsidR="00BE159D" w:rsidRDefault="00BE159D" w:rsidP="00C1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9D" w:rsidRDefault="00BE159D" w:rsidP="00C15EEA">
      <w:pPr>
        <w:spacing w:after="0" w:line="240" w:lineRule="auto"/>
      </w:pPr>
      <w:r>
        <w:separator/>
      </w:r>
    </w:p>
  </w:footnote>
  <w:footnote w:type="continuationSeparator" w:id="0">
    <w:p w:rsidR="00BE159D" w:rsidRDefault="00BE159D" w:rsidP="00C15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2D" w:rsidRPr="003D0E2D" w:rsidRDefault="00C15EEA" w:rsidP="00C15EEA">
    <w:pPr>
      <w:pStyle w:val="Header"/>
      <w:jc w:val="center"/>
    </w:pPr>
    <w:r w:rsidRPr="003D0E2D">
      <w:rPr>
        <w:i/>
      </w:rPr>
      <w:t>The Crucible</w:t>
    </w:r>
    <w:r w:rsidR="003D0E2D">
      <w:t xml:space="preserve"> Act </w:t>
    </w:r>
    <w:r w:rsidR="00E07F84">
      <w:t>IV</w:t>
    </w:r>
    <w:r w:rsidR="003D0E2D">
      <w:t xml:space="preserve"> Quotes</w:t>
    </w:r>
  </w:p>
  <w:p w:rsidR="00C15EEA" w:rsidRDefault="001C5541" w:rsidP="00C15EEA">
    <w:pPr>
      <w:pStyle w:val="Header"/>
      <w:jc w:val="center"/>
    </w:pPr>
    <w:r>
      <w:t>There are many important quotes in Act IV.  Complete the chart below by either finding the quote that goes with the explanation or by explaining the importance of the quote provided.  If both columns are blank, you may choose your own quote to explain.</w:t>
    </w:r>
  </w:p>
  <w:p w:rsidR="00C15EEA" w:rsidRDefault="00C15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CB"/>
    <w:rsid w:val="000F7065"/>
    <w:rsid w:val="001C5541"/>
    <w:rsid w:val="003D0E2D"/>
    <w:rsid w:val="00544C19"/>
    <w:rsid w:val="005C153A"/>
    <w:rsid w:val="006039CF"/>
    <w:rsid w:val="00724DCB"/>
    <w:rsid w:val="008C7106"/>
    <w:rsid w:val="00976A31"/>
    <w:rsid w:val="00B94949"/>
    <w:rsid w:val="00BA1651"/>
    <w:rsid w:val="00BE159D"/>
    <w:rsid w:val="00C15EEA"/>
    <w:rsid w:val="00D6097A"/>
    <w:rsid w:val="00E07F84"/>
    <w:rsid w:val="00F9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EEA"/>
  </w:style>
  <w:style w:type="paragraph" w:styleId="Footer">
    <w:name w:val="footer"/>
    <w:basedOn w:val="Normal"/>
    <w:link w:val="FooterChar"/>
    <w:uiPriority w:val="99"/>
    <w:unhideWhenUsed/>
    <w:rsid w:val="00C15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EEA"/>
  </w:style>
  <w:style w:type="paragraph" w:styleId="BalloonText">
    <w:name w:val="Balloon Text"/>
    <w:basedOn w:val="Normal"/>
    <w:link w:val="BalloonTextChar"/>
    <w:uiPriority w:val="99"/>
    <w:semiHidden/>
    <w:unhideWhenUsed/>
    <w:rsid w:val="00C15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EEA"/>
  </w:style>
  <w:style w:type="paragraph" w:styleId="Footer">
    <w:name w:val="footer"/>
    <w:basedOn w:val="Normal"/>
    <w:link w:val="FooterChar"/>
    <w:uiPriority w:val="99"/>
    <w:unhideWhenUsed/>
    <w:rsid w:val="00C15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EEA"/>
  </w:style>
  <w:style w:type="paragraph" w:styleId="BalloonText">
    <w:name w:val="Balloon Text"/>
    <w:basedOn w:val="Normal"/>
    <w:link w:val="BalloonTextChar"/>
    <w:uiPriority w:val="99"/>
    <w:semiHidden/>
    <w:unhideWhenUsed/>
    <w:rsid w:val="00C15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Hall</dc:creator>
  <cp:keywords/>
  <dc:description/>
  <cp:lastModifiedBy>Liz Hall</cp:lastModifiedBy>
  <cp:revision>2</cp:revision>
  <cp:lastPrinted>2013-08-16T20:24:00Z</cp:lastPrinted>
  <dcterms:created xsi:type="dcterms:W3CDTF">2013-08-21T19:37:00Z</dcterms:created>
  <dcterms:modified xsi:type="dcterms:W3CDTF">2013-08-21T19:37:00Z</dcterms:modified>
</cp:coreProperties>
</file>